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Times New Roman" w:hAnsi="Times New Roman" w:cs="Times New Roman" w:eastAsiaTheme="minorEastAsia"/>
          <w:i/>
          <w:iCs/>
          <w:sz w:val="24"/>
          <w:szCs w:val="24"/>
          <w:lang w:val="en-GB" w:eastAsia="zh-CN"/>
        </w:rPr>
      </w:pPr>
      <w:r>
        <w:rPr>
          <w:rFonts w:hint="eastAsia" w:ascii="Times New Roman" w:hAnsi="Times New Roman" w:cs="Times New Roman" w:eastAsiaTheme="minorEastAsia"/>
          <w:i/>
          <w:iCs/>
          <w:sz w:val="24"/>
          <w:szCs w:val="24"/>
          <w:lang w:val="en-GB" w:eastAsia="zh-CN"/>
        </w:rPr>
        <w:drawing>
          <wp:anchor distT="0" distB="0" distL="114300" distR="114300" simplePos="0" relativeHeight="251659264" behindDoc="0" locked="0" layoutInCell="1" allowOverlap="1">
            <wp:simplePos x="0" y="0"/>
            <wp:positionH relativeFrom="column">
              <wp:posOffset>4370705</wp:posOffset>
            </wp:positionH>
            <wp:positionV relativeFrom="paragraph">
              <wp:posOffset>-419100</wp:posOffset>
            </wp:positionV>
            <wp:extent cx="1459865" cy="395605"/>
            <wp:effectExtent l="0" t="0" r="3175" b="635"/>
            <wp:wrapNone/>
            <wp:docPr id="3" name="图片 3"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ullLogo"/>
                    <pic:cNvPicPr>
                      <a:picLocks noChangeAspect="1"/>
                    </pic:cNvPicPr>
                  </pic:nvPicPr>
                  <pic:blipFill>
                    <a:blip r:embed="rId8"/>
                    <a:stretch>
                      <a:fillRect/>
                    </a:stretch>
                  </pic:blipFill>
                  <pic:spPr>
                    <a:xfrm>
                      <a:off x="0" y="0"/>
                      <a:ext cx="1459865" cy="395605"/>
                    </a:xfrm>
                    <a:prstGeom prst="rect">
                      <a:avLst/>
                    </a:prstGeom>
                  </pic:spPr>
                </pic:pic>
              </a:graphicData>
            </a:graphic>
          </wp:anchor>
        </w:drawing>
      </w:r>
      <w:r>
        <w:rPr>
          <w:rFonts w:ascii="Times New Roman" w:hAnsi="Times New Roman" w:cs="Times New Roman"/>
          <w:i/>
          <w:iCs/>
          <w:sz w:val="24"/>
          <w:szCs w:val="24"/>
          <w:lang w:val="en-GB"/>
        </w:rPr>
        <w:t>Original research article</w:t>
      </w:r>
      <w:bookmarkStart w:id="1" w:name="_GoBack"/>
      <w:bookmarkEnd w:id="1"/>
    </w:p>
    <w:p>
      <w:pPr>
        <w:pBdr>
          <w:bottom w:val="single" w:color="auto" w:sz="6" w:space="1"/>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pPr>
        <w:pBdr>
          <w:bottom w:val="single" w:color="auto" w:sz="6" w:space="1"/>
        </w:pBdr>
        <w:spacing w:line="360" w:lineRule="auto"/>
        <w:jc w:val="both"/>
        <w:rPr>
          <w:rFonts w:ascii="Times New Roman" w:hAnsi="Times New Roman" w:cs="Times New Roman"/>
          <w:b/>
          <w:bCs/>
          <w:sz w:val="24"/>
          <w:szCs w:val="24"/>
          <w:lang w:val="en-GB"/>
        </w:rPr>
      </w:pPr>
    </w:p>
    <w:p>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acceptable length of abstract is 200–400 words, which is subject to the article type. The abstract should provide a brief summary of the paper. It should not contain any non-standard abbreviations, acknowledgments of support, references, footnotes.</w:t>
      </w:r>
    </w:p>
    <w:p>
      <w:pPr>
        <w:pBdr>
          <w:bottom w:val="single" w:color="auto" w:sz="6" w:space="1"/>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American English is desirable throughout the text. Abbreviations should be spelled out when first used.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Avoid using sub-sections in Introduction.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pPr>
        <w:spacing w:line="360" w:lineRule="auto"/>
        <w:jc w:val="both"/>
        <w:rPr>
          <w:rFonts w:ascii="Times New Roman" w:hAnsi="Times New Roman" w:cs="Times New Roman"/>
          <w:iCs/>
          <w:sz w:val="24"/>
          <w:szCs w:val="24"/>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Multidisciplinary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McClusky and McCarthy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7-9]</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Materials and methods</w:t>
      </w: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Materials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State all the materials used in the study, and include the manufacturer’s name, city and country of origin.</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1</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method clearly and concisely. </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2</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Describe the method clearly and concisely.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pPr>
        <w:spacing w:line="360" w:lineRule="auto"/>
        <w:jc w:val="both"/>
        <w:rPr>
          <w:rFonts w:ascii="Times New Roman" w:hAnsi="Times New Roman" w:cs="Times New Roman"/>
          <w:sz w:val="24"/>
          <w:szCs w:val="24"/>
        </w:rPr>
      </w:pPr>
      <m:oMath>
        <m:r>
          <m:rPr/>
          <w:rPr>
            <w:rFonts w:ascii="Cambria Math" w:hAnsi="Cambria Math" w:cs="Times New Roman"/>
            <w:sz w:val="24"/>
            <w:szCs w:val="24"/>
          </w:rPr>
          <m:t>E=m</m:t>
        </m:r>
        <m:sSup>
          <m:sSupPr>
            <m:ctrlPr>
              <w:rPr>
                <w:rFonts w:ascii="Cambria Math" w:hAnsi="Cambria Math" w:cs="Times New Roman"/>
                <w:i/>
                <w:sz w:val="24"/>
                <w:szCs w:val="24"/>
              </w:rPr>
            </m:ctrlPr>
          </m:sSupPr>
          <m:e>
            <m:r>
              <m:rPr/>
              <w:rPr>
                <w:rFonts w:ascii="Cambria Math" w:hAnsi="Cambria Math" w:cs="Times New Roman"/>
                <w:sz w:val="24"/>
                <w:szCs w:val="24"/>
              </w:rPr>
              <m:t>c</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(I)</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pPr>
        <w:spacing w:line="360" w:lineRule="auto"/>
        <w:jc w:val="both"/>
        <w:rPr>
          <w:rFonts w:ascii="Times New Roman" w:hAnsi="Times New Roman" w:cs="Times New Roman"/>
          <w:sz w:val="24"/>
          <w:szCs w:val="24"/>
        </w:rPr>
      </w:pPr>
      <w:bookmarkStart w:id="0" w:name="_Hlk107914966"/>
      <w:r>
        <w:rPr>
          <w:rFonts w:ascii="Times New Roman" w:hAnsi="Times New Roman" w:cs="Times New Roman"/>
          <w:i/>
          <w:iCs/>
          <w:sz w:val="24"/>
          <w:szCs w:val="24"/>
        </w:rPr>
        <w:t xml:space="preserve">Tumor Discovery </w:t>
      </w:r>
      <w:bookmarkEnd w:id="0"/>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2.4. Statistical analysis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CT scan of the heart,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parameters used. Insert figures and/or tables at the back of manuscript.</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Materials that have been published previously should be accompanied by written permission from the copyright holder, such as author(s) and publisher. The statement of written permission should be written in copyright holder’s preferred style.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communications and unpublished works can only be used in the manuscript and are not to be placed in the References section. Authors are advised to limit such usage to the minimum. These should be made identifiable by stating the authors, year of personal communications or unpublished works, and the words “personal communication” or “unpublished” in parenthesis, e.g., (Smith J, 2000, unpublished).</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MRI of the kidney, while </w:t>
      </w:r>
      <w:r>
        <w:rPr>
          <w:rFonts w:ascii="Times New Roman" w:hAnsi="Times New Roman" w:cs="Times New Roman"/>
          <w:b/>
          <w:bCs/>
          <w:sz w:val="24"/>
          <w:szCs w:val="24"/>
        </w:rPr>
        <w:t>Figure 2(B)</w:t>
      </w:r>
      <w:r>
        <w:rPr>
          <w:rFonts w:ascii="Times New Roman" w:hAnsi="Times New Roman" w:cs="Times New Roman"/>
          <w:sz w:val="24"/>
          <w:szCs w:val="24"/>
        </w:rPr>
        <w:t xml:space="preserve"> shows a schematic diagram depicting the mechanism of apoptosis,  and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clinical study.</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pPr>
        <w:spacing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Tumor Discovery </w:t>
      </w:r>
      <w:r>
        <w:rPr>
          <w:rFonts w:ascii="Times New Roman" w:hAnsi="Times New Roman" w:cs="Times New Roman"/>
          <w:sz w:val="24"/>
          <w:szCs w:val="24"/>
        </w:rPr>
        <w:t>allows up to 3 levels of headings.</w:t>
      </w:r>
    </w:p>
    <w:p>
      <w:pPr>
        <w:spacing w:line="360" w:lineRule="auto"/>
        <w:jc w:val="both"/>
        <w:rPr>
          <w:rFonts w:ascii="Times New Roman" w:hAnsi="Times New Roman" w:cs="Times New Roman"/>
          <w:sz w:val="24"/>
          <w:szCs w:val="24"/>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2.3.2.1. Sub-description</w:t>
      </w:r>
      <w:r>
        <w:rPr>
          <w:rFonts w:ascii="Times New Roman" w:hAnsi="Times New Roman" w:cs="Times New Roman"/>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Discussion can be presented alone, independent of Results section. Alternatively, Discussion can also be merged with Results as </w:t>
      </w:r>
      <w:r>
        <w:rPr>
          <w:rFonts w:ascii="Times New Roman" w:hAnsi="Times New Roman" w:cs="Times New Roman"/>
          <w:b/>
          <w:bCs/>
          <w:sz w:val="24"/>
          <w:szCs w:val="24"/>
          <w:lang w:val="en-GB"/>
        </w:rPr>
        <w:t>3. Results and Discussion</w:t>
      </w:r>
      <w:r>
        <w:rPr>
          <w:rFonts w:ascii="Times New Roman" w:hAnsi="Times New Roman" w:cs="Times New Roman"/>
          <w:sz w:val="24"/>
          <w:szCs w:val="24"/>
          <w:lang w:val="en-GB"/>
        </w:rPr>
        <w:t xml:space="preserve">, and sub-sections can be used for better presentation too. </w:t>
      </w:r>
    </w:p>
    <w:p>
      <w:pPr>
        <w:spacing w:line="360" w:lineRule="auto"/>
        <w:jc w:val="both"/>
        <w:rPr>
          <w:rFonts w:ascii="Times New Roman" w:hAnsi="Times New Roman" w:cs="Times New Roman"/>
          <w:sz w:val="24"/>
          <w:szCs w:val="24"/>
          <w:lang w:val="en-GB"/>
        </w:rPr>
      </w:pPr>
      <w:r>
        <w:rPr>
          <w:rFonts w:hint="eastAsia" w:ascii="Times New Roman" w:hAnsi="Times New Roman" w:cs="Times New Roman"/>
          <w:sz w:val="24"/>
          <w:szCs w:val="24"/>
        </w:rPr>
        <w:t>In-</w:t>
      </w:r>
      <w:r>
        <w:rPr>
          <w:rFonts w:ascii="Times New Roman" w:hAnsi="Times New Roman" w:cs="Times New Roman"/>
          <w:sz w:val="24"/>
          <w:szCs w:val="24"/>
        </w:rPr>
        <w:t>text</w:t>
      </w:r>
      <w:r>
        <w:rPr>
          <w:rFonts w:hint="eastAsia" w:ascii="Times New Roman" w:hAnsi="Times New Roman" w:cs="Times New Roman"/>
          <w:sz w:val="24"/>
          <w:szCs w:val="24"/>
        </w:rPr>
        <w:t xml:space="preserve"> citations that will be listed in the References section at the end of the submission</w:t>
      </w:r>
      <w:r>
        <w:rPr>
          <w:rFonts w:ascii="Times New Roman" w:hAnsi="Times New Roman" w:cs="Times New Roman"/>
          <w:sz w:val="24"/>
          <w:szCs w:val="24"/>
        </w:rPr>
        <w:t xml:space="preserve"> should be numbered consecutively in superscript square brackets. </w:t>
      </w:r>
      <w:r>
        <w:rPr>
          <w:rFonts w:hint="eastAsia" w:ascii="Times New Roman" w:hAnsi="Times New Roman" w:cs="Times New Roman"/>
          <w:sz w:val="24"/>
          <w:szCs w:val="24"/>
        </w:rPr>
        <w:t>For</w:t>
      </w:r>
      <w:r>
        <w:rPr>
          <w:rFonts w:ascii="Times New Roman" w:hAnsi="Times New Roman" w:cs="Times New Roman"/>
          <w:sz w:val="24"/>
          <w:szCs w:val="24"/>
        </w:rPr>
        <w:t xml:space="preserve"> example: Negotiation research spans many disciplines </w:t>
      </w:r>
      <w:r>
        <w:rPr>
          <w:rFonts w:ascii="Times New Roman" w:hAnsi="Times New Roman" w:cs="Times New Roman"/>
          <w:sz w:val="24"/>
          <w:szCs w:val="24"/>
          <w:vertAlign w:val="superscript"/>
        </w:rPr>
        <w:t>[1]</w:t>
      </w:r>
      <w:r>
        <w:rPr>
          <w:rFonts w:hint="eastAsia" w:ascii="Times New Roman" w:hAnsi="Times New Roman" w:cs="Times New Roman"/>
          <w:sz w:val="24"/>
          <w:szCs w:val="24"/>
        </w:rPr>
        <w:t>.</w:t>
      </w:r>
      <w:r>
        <w:rPr>
          <w:rFonts w:ascii="Times New Roman" w:hAnsi="Times New Roman" w:cs="Times New Roman"/>
          <w:sz w:val="24"/>
          <w:szCs w:val="24"/>
        </w:rPr>
        <w:t xml:space="preserve"> This result was later contradicted by Becker and Seligman </w:t>
      </w:r>
      <w:r>
        <w:rPr>
          <w:rFonts w:ascii="Times New Roman" w:hAnsi="Times New Roman" w:cs="Times New Roman"/>
          <w:sz w:val="24"/>
          <w:szCs w:val="24"/>
          <w:vertAlign w:val="superscript"/>
        </w:rPr>
        <w:t>[2,3]</w:t>
      </w:r>
      <w:r>
        <w:rPr>
          <w:rFonts w:hint="eastAsia" w:ascii="Times New Roman" w:hAnsi="Times New Roman" w:cs="Times New Roman"/>
          <w:sz w:val="24"/>
          <w:szCs w:val="24"/>
        </w:rPr>
        <w:t>.</w:t>
      </w:r>
      <w:r>
        <w:rPr>
          <w:rFonts w:ascii="Times New Roman" w:hAnsi="Times New Roman" w:cs="Times New Roman"/>
          <w:sz w:val="24"/>
          <w:szCs w:val="24"/>
        </w:rPr>
        <w:t xml:space="preserve"> This effect has been widely studied </w:t>
      </w:r>
      <w:r>
        <w:rPr>
          <w:rFonts w:ascii="Times New Roman" w:hAnsi="Times New Roman" w:cs="Times New Roman"/>
          <w:sz w:val="24"/>
          <w:szCs w:val="24"/>
          <w:vertAlign w:val="superscript"/>
        </w:rPr>
        <w:t>[4-6]</w:t>
      </w:r>
      <w:r>
        <w:rPr>
          <w:rFonts w:ascii="Times New Roman" w:hAnsi="Times New Roman" w:cs="Times New Roman"/>
          <w:sz w:val="24"/>
          <w:szCs w:val="24"/>
        </w:rPr>
        <w:t xml:space="preserve">. This hypothesis is supported by many schools of thoughts </w:t>
      </w:r>
      <w:r>
        <w:rPr>
          <w:rFonts w:ascii="Times New Roman" w:hAnsi="Times New Roman" w:cs="Times New Roman"/>
          <w:sz w:val="24"/>
          <w:szCs w:val="24"/>
          <w:vertAlign w:val="superscript"/>
        </w:rPr>
        <w:t>[3, 7-10]</w:t>
      </w:r>
      <w:r>
        <w:rPr>
          <w:rFonts w:ascii="Times New Roman" w:hAnsi="Times New Roman" w:cs="Times New Roman"/>
          <w:iCs/>
          <w:sz w:val="24"/>
          <w:szCs w:val="24"/>
        </w:rPr>
        <w:t>.</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References must be numbered. Include DOI if available. Managing references using software, such as EndNote and Mendeley, is strongly recommended. Personal communications and unpublished works should be excluded from this section. Refer to the Instructions for Author (</w:t>
      </w:r>
      <w:r>
        <w:fldChar w:fldCharType="begin"/>
      </w:r>
      <w:r>
        <w:instrText xml:space="preserve"> HYPERLINK "https://accscience.com/journal/TD/instructions" </w:instrText>
      </w:r>
      <w:r>
        <w:fldChar w:fldCharType="separate"/>
      </w:r>
      <w:r>
        <w:rPr>
          <w:rStyle w:val="8"/>
          <w:rFonts w:ascii="Times New Roman" w:hAnsi="Times New Roman" w:cs="Times New Roman"/>
          <w:sz w:val="24"/>
          <w:szCs w:val="24"/>
          <w:lang w:val="en-GB"/>
        </w:rPr>
        <w:t>https://accscience.com/journal/TD/instructions</w:t>
      </w:r>
      <w:r>
        <w:rPr>
          <w:rStyle w:val="8"/>
          <w:rFonts w:ascii="Times New Roman" w:hAnsi="Times New Roman" w:cs="Times New Roman"/>
          <w:sz w:val="24"/>
          <w:szCs w:val="24"/>
          <w:lang w:val="en-GB"/>
        </w:rPr>
        <w:fldChar w:fldCharType="end"/>
      </w:r>
      <w:r>
        <w:rPr>
          <w:rFonts w:ascii="Times New Roman" w:hAnsi="Times New Roman" w:cs="Times New Roman"/>
          <w:sz w:val="24"/>
          <w:szCs w:val="24"/>
          <w:lang w:val="en-GB"/>
        </w:rPr>
        <w:t>) for more information.</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Yang D, Zhou Q, Labroska V,</w:t>
      </w:r>
      <w:r>
        <w:rPr>
          <w:rFonts w:hint="eastAsia" w:ascii="Times New Roman" w:hAnsi="Times New Roman" w:cs="Times New Roman"/>
          <w:i/>
          <w:iCs/>
          <w:sz w:val="24"/>
          <w:szCs w:val="24"/>
        </w:rPr>
        <w:t xml:space="preserve"> et al.</w:t>
      </w:r>
      <w:r>
        <w:rPr>
          <w:rFonts w:hint="eastAsia" w:ascii="Times New Roman" w:hAnsi="Times New Roman" w:cs="Times New Roman"/>
          <w:sz w:val="24"/>
          <w:szCs w:val="24"/>
        </w:rPr>
        <w:t xml:space="preserve"> G protein-coupled receptors: Structure-and function-based drug discovery. </w:t>
      </w:r>
      <w:r>
        <w:rPr>
          <w:rFonts w:hint="eastAsia" w:ascii="Times New Roman" w:hAnsi="Times New Roman" w:cs="Times New Roman"/>
          <w:i/>
          <w:iCs/>
          <w:sz w:val="24"/>
          <w:szCs w:val="24"/>
        </w:rPr>
        <w:t>Signal Transduct Target Ther.</w:t>
      </w:r>
      <w:r>
        <w:rPr>
          <w:rFonts w:hint="eastAsia" w:ascii="Times New Roman" w:hAnsi="Times New Roman" w:cs="Times New Roman"/>
          <w:sz w:val="24"/>
          <w:szCs w:val="24"/>
        </w:rPr>
        <w:t xml:space="preserve"> 2021;6(1):7. doi: 10.1038/s41392-020-00435-w</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Katritch V, Cherezov V, Stevens RC. Diversity and modularity of G protein-coupled receptor structures. </w:t>
      </w:r>
      <w:r>
        <w:rPr>
          <w:rFonts w:hint="eastAsia" w:ascii="Times New Roman" w:hAnsi="Times New Roman" w:cs="Times New Roman"/>
          <w:i/>
          <w:iCs/>
          <w:sz w:val="24"/>
          <w:szCs w:val="24"/>
        </w:rPr>
        <w:t>Trends Pharmacol Sci.</w:t>
      </w:r>
      <w:r>
        <w:rPr>
          <w:rFonts w:hint="eastAsia" w:ascii="Times New Roman" w:hAnsi="Times New Roman" w:cs="Times New Roman"/>
          <w:sz w:val="24"/>
          <w:szCs w:val="24"/>
        </w:rPr>
        <w:t xml:space="preserve"> 2012;33(1):17-27. doi: 10.1016/j.tips.2011.09.003</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Berman HM, Westbrook J, Feng Z,</w:t>
      </w:r>
      <w:r>
        <w:rPr>
          <w:rFonts w:hint="eastAsia" w:ascii="Times New Roman" w:hAnsi="Times New Roman" w:cs="Times New Roman"/>
          <w:i/>
          <w:iCs/>
          <w:sz w:val="24"/>
          <w:szCs w:val="24"/>
        </w:rPr>
        <w:t xml:space="preserve"> et al.</w:t>
      </w:r>
      <w:r>
        <w:rPr>
          <w:rFonts w:hint="eastAsia" w:ascii="Times New Roman" w:hAnsi="Times New Roman" w:cs="Times New Roman"/>
          <w:sz w:val="24"/>
          <w:szCs w:val="24"/>
        </w:rPr>
        <w:t xml:space="preserve"> The protein data bank. </w:t>
      </w:r>
      <w:r>
        <w:rPr>
          <w:rFonts w:hint="eastAsia" w:ascii="Times New Roman" w:hAnsi="Times New Roman" w:cs="Times New Roman"/>
          <w:i/>
          <w:iCs/>
          <w:sz w:val="24"/>
          <w:szCs w:val="24"/>
        </w:rPr>
        <w:t>Nucleic Acids Res.</w:t>
      </w:r>
      <w:r>
        <w:rPr>
          <w:rFonts w:hint="eastAsia" w:ascii="Times New Roman" w:hAnsi="Times New Roman" w:cs="Times New Roman"/>
          <w:sz w:val="24"/>
          <w:szCs w:val="24"/>
        </w:rPr>
        <w:t xml:space="preserve"> 2000;28(1):235-242. doi: 10.1093/nar/28.1.235</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Rajagopalan L, Rajarathnam K. Ligand selectivity and affinity of chemokine receptor CXCR1. Role of N-terminal domain. </w:t>
      </w:r>
      <w:r>
        <w:rPr>
          <w:rFonts w:hint="eastAsia" w:ascii="Times New Roman" w:hAnsi="Times New Roman" w:cs="Times New Roman"/>
          <w:i/>
          <w:iCs/>
          <w:sz w:val="24"/>
          <w:szCs w:val="24"/>
        </w:rPr>
        <w:t>J Biol Chem.</w:t>
      </w:r>
      <w:r>
        <w:rPr>
          <w:rFonts w:hint="eastAsia" w:ascii="Times New Roman" w:hAnsi="Times New Roman" w:cs="Times New Roman"/>
          <w:sz w:val="24"/>
          <w:szCs w:val="24"/>
        </w:rPr>
        <w:t xml:space="preserve"> 2004;279(29):30000-30008. doi: 10.1074/jbc.M313883200</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Holmes WE, Lee J, Kuang WJ, Rice GC, Wood WI. Structure and functional expression of a human interleukin-8 receptor. Science. 1991;253(5025):1278-1280. </w:t>
      </w:r>
      <w:r>
        <w:rPr>
          <w:rFonts w:hint="eastAsia" w:ascii="Times New Roman" w:hAnsi="Times New Roman" w:cs="Times New Roman"/>
          <w:i/>
          <w:iCs/>
          <w:sz w:val="24"/>
          <w:szCs w:val="24"/>
        </w:rPr>
        <w:t>J Immun.</w:t>
      </w:r>
      <w:r>
        <w:rPr>
          <w:rFonts w:hint="eastAsia" w:ascii="Times New Roman" w:hAnsi="Times New Roman" w:cs="Times New Roman"/>
          <w:sz w:val="24"/>
          <w:szCs w:val="24"/>
        </w:rPr>
        <w:t xml:space="preserve"> 2009;183(5):2895-2897. doi: 10.1126/science.1840701</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Ha H, Debnath B, Neamati N. Role of the CXCL8-CXCR1/2 axis in cancer and inflammatory diseases. </w:t>
      </w:r>
      <w:r>
        <w:rPr>
          <w:rFonts w:hint="eastAsia" w:ascii="Times New Roman" w:hAnsi="Times New Roman" w:cs="Times New Roman"/>
          <w:i/>
          <w:iCs/>
          <w:sz w:val="24"/>
          <w:szCs w:val="24"/>
        </w:rPr>
        <w:t>Theranostics.</w:t>
      </w:r>
      <w:r>
        <w:rPr>
          <w:rFonts w:hint="eastAsia" w:ascii="Times New Roman" w:hAnsi="Times New Roman" w:cs="Times New Roman"/>
          <w:sz w:val="24"/>
          <w:szCs w:val="24"/>
        </w:rPr>
        <w:t xml:space="preserve"> 2017;7(6):1543-1588. doi: 10.7150/thno.15625</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Park SH, Das BB, Casagrande F,</w:t>
      </w:r>
      <w:r>
        <w:rPr>
          <w:rFonts w:hint="eastAsia" w:ascii="Times New Roman" w:hAnsi="Times New Roman" w:cs="Times New Roman"/>
          <w:i/>
          <w:iCs/>
          <w:sz w:val="24"/>
          <w:szCs w:val="24"/>
        </w:rPr>
        <w:t xml:space="preserve"> et al.</w:t>
      </w:r>
      <w:r>
        <w:rPr>
          <w:rFonts w:hint="eastAsia" w:ascii="Times New Roman" w:hAnsi="Times New Roman" w:cs="Times New Roman"/>
          <w:sz w:val="24"/>
          <w:szCs w:val="24"/>
        </w:rPr>
        <w:t xml:space="preserve"> Structure of the chemokine receptor CXCR1 in phospholipid bilayers. </w:t>
      </w:r>
      <w:r>
        <w:rPr>
          <w:rFonts w:hint="eastAsia" w:ascii="Times New Roman" w:hAnsi="Times New Roman" w:cs="Times New Roman"/>
          <w:i/>
          <w:iCs/>
          <w:sz w:val="24"/>
          <w:szCs w:val="24"/>
        </w:rPr>
        <w:t>Nature.</w:t>
      </w:r>
      <w:r>
        <w:rPr>
          <w:rFonts w:hint="eastAsia" w:ascii="Times New Roman" w:hAnsi="Times New Roman" w:cs="Times New Roman"/>
          <w:sz w:val="24"/>
          <w:szCs w:val="24"/>
        </w:rPr>
        <w:t xml:space="preserve"> 2012;491(7426):779-783. doi: 10.1038/nature11580</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 xml:space="preserve">Sojka AC, Brennan KM, Maizels ET, Young CD. The science behind g protein-coupled receptors (GPCRs) and their accurate visual representation in scientific research. </w:t>
      </w:r>
      <w:r>
        <w:rPr>
          <w:rFonts w:hint="eastAsia" w:ascii="Times New Roman" w:hAnsi="Times New Roman" w:cs="Times New Roman"/>
          <w:i/>
          <w:iCs/>
          <w:sz w:val="24"/>
          <w:szCs w:val="24"/>
        </w:rPr>
        <w:t>J Biocommun.</w:t>
      </w:r>
      <w:r>
        <w:rPr>
          <w:rFonts w:hint="eastAsia" w:ascii="Times New Roman" w:hAnsi="Times New Roman" w:cs="Times New Roman"/>
          <w:sz w:val="24"/>
          <w:szCs w:val="24"/>
        </w:rPr>
        <w:t xml:space="preserve"> 2017;41(1):e6. doi: 10.5210/jbc.v41i1.7309</w:t>
      </w:r>
    </w:p>
    <w:p>
      <w:pPr>
        <w:pStyle w:val="13"/>
        <w:numPr>
          <w:ilvl w:val="0"/>
          <w:numId w:val="1"/>
        </w:numPr>
        <w:spacing w:line="360" w:lineRule="auto"/>
        <w:ind w:left="510" w:hanging="510"/>
        <w:jc w:val="both"/>
        <w:rPr>
          <w:rFonts w:hint="eastAsia" w:ascii="Times New Roman" w:hAnsi="Times New Roman" w:cs="Times New Roman"/>
          <w:sz w:val="24"/>
          <w:szCs w:val="24"/>
        </w:rPr>
      </w:pPr>
      <w:r>
        <w:rPr>
          <w:rFonts w:hint="eastAsia" w:ascii="Times New Roman" w:hAnsi="Times New Roman" w:cs="Times New Roman"/>
          <w:sz w:val="24"/>
          <w:szCs w:val="24"/>
        </w:rPr>
        <w:t>Hofmann KP, Scheerer P, Hildebrand PW,</w:t>
      </w:r>
      <w:r>
        <w:rPr>
          <w:rFonts w:hint="eastAsia" w:ascii="Times New Roman" w:hAnsi="Times New Roman" w:cs="Times New Roman"/>
          <w:i/>
          <w:iCs/>
          <w:sz w:val="24"/>
          <w:szCs w:val="24"/>
        </w:rPr>
        <w:t xml:space="preserve"> et al.</w:t>
      </w:r>
      <w:r>
        <w:rPr>
          <w:rFonts w:hint="eastAsia" w:ascii="Times New Roman" w:hAnsi="Times New Roman" w:cs="Times New Roman"/>
          <w:sz w:val="24"/>
          <w:szCs w:val="24"/>
        </w:rPr>
        <w:t xml:space="preserve"> A G protein-coupled receptor at work: The rhodopsin model. </w:t>
      </w:r>
      <w:r>
        <w:rPr>
          <w:rFonts w:hint="eastAsia" w:ascii="Times New Roman" w:hAnsi="Times New Roman" w:cs="Times New Roman"/>
          <w:i/>
          <w:iCs/>
          <w:sz w:val="24"/>
          <w:szCs w:val="24"/>
        </w:rPr>
        <w:t>Trends Biochem Sci.</w:t>
      </w:r>
      <w:r>
        <w:rPr>
          <w:rFonts w:hint="eastAsia" w:ascii="Times New Roman" w:hAnsi="Times New Roman" w:cs="Times New Roman"/>
          <w:sz w:val="24"/>
          <w:szCs w:val="24"/>
        </w:rPr>
        <w:t xml:space="preserve"> 2009;34(11):540-552. doi: 10.1016/j.tibs.2009.07.005</w:t>
      </w:r>
    </w:p>
    <w:p>
      <w:pPr>
        <w:pStyle w:val="13"/>
        <w:numPr>
          <w:ilvl w:val="0"/>
          <w:numId w:val="1"/>
        </w:numPr>
        <w:spacing w:line="360" w:lineRule="auto"/>
        <w:ind w:left="510" w:hanging="510"/>
        <w:jc w:val="both"/>
        <w:rPr>
          <w:rFonts w:ascii="Times New Roman" w:hAnsi="Times New Roman" w:cs="Times New Roman"/>
          <w:sz w:val="24"/>
          <w:szCs w:val="24"/>
        </w:rPr>
      </w:pPr>
      <w:r>
        <w:rPr>
          <w:rFonts w:hint="eastAsia" w:ascii="Times New Roman" w:hAnsi="Times New Roman" w:cs="Times New Roman"/>
          <w:sz w:val="24"/>
          <w:szCs w:val="24"/>
        </w:rPr>
        <w:t xml:space="preserve">Park JH, Scheerer P, Hofmann KP, Choe HW, Ernst OP. Crystal structure of the ligand-free G-protein-coupled receptor opsin. </w:t>
      </w:r>
      <w:r>
        <w:rPr>
          <w:rFonts w:hint="eastAsia" w:ascii="Times New Roman" w:hAnsi="Times New Roman" w:cs="Times New Roman"/>
          <w:i/>
          <w:iCs/>
          <w:sz w:val="24"/>
          <w:szCs w:val="24"/>
        </w:rPr>
        <w:t>Nature.</w:t>
      </w:r>
      <w:r>
        <w:rPr>
          <w:rFonts w:hint="eastAsia" w:ascii="Times New Roman" w:hAnsi="Times New Roman" w:cs="Times New Roman"/>
          <w:sz w:val="24"/>
          <w:szCs w:val="24"/>
        </w:rPr>
        <w:t xml:space="preserve"> 2008;454(7201):183-187. doi: 10.1038/nature07063</w:t>
      </w:r>
    </w:p>
    <w:p>
      <w:pPr>
        <w:spacing w:line="360" w:lineRule="auto"/>
        <w:jc w:val="both"/>
        <w:rPr>
          <w:rFonts w:ascii="Times New Roman" w:hAnsi="Times New Roman" w:cs="Times New Roman"/>
          <w:sz w:val="24"/>
          <w:szCs w:val="24"/>
          <w:lang w:val="en-GB"/>
        </w:rPr>
      </w:pPr>
    </w:p>
    <w:p>
      <w:pPr>
        <w:rPr>
          <w:rFonts w:ascii="Times New Roman" w:hAnsi="Times New Roman" w:cs="Times New Roman"/>
          <w:sz w:val="24"/>
          <w:szCs w:val="24"/>
          <w:lang w:val="en-GB"/>
        </w:rPr>
      </w:pPr>
      <w:r>
        <w:rPr>
          <w:rFonts w:ascii="Times New Roman" w:hAnsi="Times New Roman" w:cs="Times New Roman"/>
          <w:sz w:val="24"/>
          <w:szCs w:val="24"/>
          <w:lang w:val="en-GB"/>
        </w:rPr>
        <w:br w:type="page"/>
      </w:r>
    </w:p>
    <w:p>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Figures and Tables</w:t>
      </w:r>
    </w:p>
    <w:p>
      <w:pPr>
        <w:spacing w:line="360" w:lineRule="auto"/>
        <w:jc w:val="both"/>
        <w:rPr>
          <w:rFonts w:ascii="Times New Roman" w:hAnsi="Times New Roman" w:cs="Times New Roman"/>
          <w:sz w:val="24"/>
          <w:szCs w:val="24"/>
          <w:lang w:val="en-GB"/>
        </w:rPr>
      </w:pPr>
      <w:r>
        <w:rPr>
          <w:lang w:val="en-GB"/>
        </w:rPr>
        <w:drawing>
          <wp:inline distT="0" distB="0" distL="0" distR="0">
            <wp:extent cx="1869440" cy="1402715"/>
            <wp:effectExtent l="19050" t="19050" r="16510" b="260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5400" cy="1407395"/>
                    </a:xfrm>
                    <a:prstGeom prst="rect">
                      <a:avLst/>
                    </a:prstGeom>
                    <a:noFill/>
                    <a:ln>
                      <a:solidFill>
                        <a:schemeClr val="tx1"/>
                      </a:solidFill>
                    </a:ln>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1.</w:t>
      </w:r>
      <w:r>
        <w:rPr>
          <w:rFonts w:ascii="Times New Roman" w:hAnsi="Times New Roman" w:cs="Times New Roman"/>
          <w:sz w:val="24"/>
          <w:szCs w:val="24"/>
          <w:lang w:val="en-GB"/>
        </w:rPr>
        <w:t xml:space="preserve"> Give title of Figure 1 and figure caption should be beneath the image.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drawing>
          <wp:inline distT="0" distB="0" distL="0" distR="0">
            <wp:extent cx="3662680" cy="1402715"/>
            <wp:effectExtent l="0" t="0" r="0" b="6985"/>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3521" cy="1406749"/>
                    </a:xfrm>
                    <a:prstGeom prst="rect">
                      <a:avLst/>
                    </a:prstGeom>
                  </pic:spPr>
                </pic:pic>
              </a:graphicData>
            </a:graphic>
          </wp:inline>
        </w:drawing>
      </w: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Figure 2.</w:t>
      </w:r>
      <w:r>
        <w:rPr>
          <w:rFonts w:ascii="Times New Roman" w:hAnsi="Times New Roman" w:cs="Times New Roman"/>
          <w:sz w:val="24"/>
          <w:szCs w:val="24"/>
          <w:lang w:val="en-GB"/>
        </w:rPr>
        <w:t xml:space="preserve"> Title of Figure 2. (A) Give a proper title to each panel of the figure. (B) Give a proper title to each panel of the figure.</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1.</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Temperature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55°C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80°C</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Table 2.</w:t>
      </w:r>
      <w:r>
        <w:rPr>
          <w:rFonts w:ascii="Times New Roman" w:hAnsi="Times New Roman" w:cs="Times New Roman"/>
          <w:sz w:val="24"/>
          <w:szCs w:val="24"/>
          <w:lang w:val="en-GB"/>
        </w:rPr>
        <w:t xml:space="preserve"> Table caption should be placed on top of the table.</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7"/>
        <w:gridCol w:w="2337"/>
        <w:gridCol w:w="2338"/>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restart"/>
          </w:tcPr>
          <w:p>
            <w:pPr>
              <w:spacing w:after="0"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Parameters</w:t>
            </w:r>
          </w:p>
        </w:tc>
        <w:tc>
          <w:tcPr>
            <w:tcW w:w="7013" w:type="dxa"/>
            <w:gridSpan w:val="3"/>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Light intensity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vMerge w:val="continue"/>
          </w:tcPr>
          <w:p>
            <w:pPr>
              <w:spacing w:after="0" w:line="360" w:lineRule="auto"/>
              <w:jc w:val="both"/>
              <w:rPr>
                <w:rFonts w:ascii="Times New Roman" w:hAnsi="Times New Roman" w:cs="Times New Roman"/>
                <w:b/>
                <w:bCs/>
                <w:sz w:val="24"/>
                <w:szCs w:val="24"/>
                <w:lang w:val="en-GB"/>
              </w:rPr>
            </w:pPr>
          </w:p>
        </w:tc>
        <w:tc>
          <w:tcPr>
            <w:tcW w:w="2337"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Low</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Moderate</w:t>
            </w:r>
          </w:p>
        </w:tc>
        <w:tc>
          <w:tcPr>
            <w:tcW w:w="2338" w:type="dxa"/>
          </w:tcPr>
          <w:p>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High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A</w:t>
            </w:r>
          </w:p>
        </w:tc>
        <w:tc>
          <w:tcPr>
            <w:tcW w:w="2337"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414</w:t>
            </w:r>
          </w:p>
        </w:tc>
        <w:tc>
          <w:tcPr>
            <w:tcW w:w="2338"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212 </w:t>
            </w:r>
            <w:r>
              <w:rPr>
                <w:rFonts w:ascii="Times New Roman" w:hAnsi="Times New Roman" w:cs="Times New Roman"/>
                <w:sz w:val="24"/>
                <w:szCs w:val="24"/>
                <w:vertAlign w:val="superscript"/>
                <w:lang w:val="en-GB"/>
              </w:rPr>
              <w:t>b</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37" w:type="dxa"/>
          </w:tcPr>
          <w:p>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Parameter B</w:t>
            </w:r>
          </w:p>
        </w:tc>
        <w:tc>
          <w:tcPr>
            <w:tcW w:w="2337" w:type="dxa"/>
          </w:tcPr>
          <w:p>
            <w:pPr>
              <w:spacing w:after="0" w:line="360" w:lineRule="auto"/>
              <w:jc w:val="center"/>
              <w:rPr>
                <w:rFonts w:ascii="Times New Roman" w:hAnsi="Times New Roman" w:cs="Times New Roman"/>
                <w:sz w:val="24"/>
                <w:szCs w:val="24"/>
                <w:vertAlign w:val="superscript"/>
                <w:lang w:val="en-GB"/>
              </w:rPr>
            </w:pPr>
            <w:r>
              <w:rPr>
                <w:rFonts w:ascii="Times New Roman" w:hAnsi="Times New Roman" w:cs="Times New Roman"/>
                <w:sz w:val="24"/>
                <w:szCs w:val="24"/>
                <w:lang w:val="en-GB"/>
              </w:rPr>
              <w:t xml:space="preserve">666 </w:t>
            </w:r>
            <w:r>
              <w:rPr>
                <w:rFonts w:ascii="Times New Roman" w:hAnsi="Times New Roman" w:cs="Times New Roman"/>
                <w:sz w:val="24"/>
                <w:szCs w:val="24"/>
                <w:vertAlign w:val="superscript"/>
                <w:lang w:val="en-GB"/>
              </w:rPr>
              <w:t>a</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777</w:t>
            </w:r>
          </w:p>
        </w:tc>
        <w:tc>
          <w:tcPr>
            <w:tcW w:w="2338" w:type="dxa"/>
          </w:tcPr>
          <w:p>
            <w:pPr>
              <w:spacing w:after="0" w:line="36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888</w:t>
            </w:r>
          </w:p>
        </w:tc>
      </w:tr>
    </w:tbl>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Add legend below the table. Define all abbreviations used in the table in alphabetical order and define the symbols used. </w:t>
      </w:r>
      <w:r>
        <w:rPr>
          <w:rFonts w:ascii="Times New Roman" w:hAnsi="Times New Roman" w:cs="Times New Roman"/>
          <w:sz w:val="24"/>
          <w:szCs w:val="24"/>
          <w:vertAlign w:val="superscript"/>
          <w:lang w:val="en-GB"/>
        </w:rPr>
        <w:t xml:space="preserve">a </w:t>
      </w:r>
      <w:r>
        <w:rPr>
          <w:rFonts w:ascii="Times New Roman" w:hAnsi="Times New Roman" w:cs="Times New Roman"/>
          <w:sz w:val="24"/>
          <w:szCs w:val="24"/>
          <w:lang w:val="en-GB"/>
        </w:rPr>
        <w:t xml:space="preserve">P&lt;0.05, </w:t>
      </w:r>
      <w:r>
        <w:rPr>
          <w:rFonts w:ascii="Times New Roman" w:hAnsi="Times New Roman" w:cs="Times New Roman"/>
          <w:sz w:val="24"/>
          <w:szCs w:val="24"/>
          <w:vertAlign w:val="superscript"/>
          <w:lang w:val="en-GB"/>
        </w:rPr>
        <w:t xml:space="preserve">b </w:t>
      </w:r>
      <w:r>
        <w:rPr>
          <w:rFonts w:ascii="Times New Roman" w:hAnsi="Times New Roman" w:cs="Times New Roman"/>
          <w:sz w:val="24"/>
          <w:szCs w:val="24"/>
          <w:lang w:val="en-GB"/>
        </w:rPr>
        <w:t>P&lt;0.01.</w:t>
      </w: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p>
      <w:pPr>
        <w:spacing w:line="360" w:lineRule="auto"/>
        <w:jc w:val="both"/>
        <w:rPr>
          <w:rFonts w:ascii="Times New Roman" w:hAnsi="Times New Roman" w:cs="Times New Roman"/>
          <w:sz w:val="24"/>
          <w:szCs w:val="24"/>
          <w:lang w:val="en-GB"/>
        </w:rPr>
      </w:pPr>
    </w:p>
    <w:sectPr>
      <w:headerReference r:id="rId5" w:type="default"/>
      <w:footerReference r:id="rId6"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981983"/>
      <w:docPartObj>
        <w:docPartGallery w:val="autotext"/>
      </w:docPartObj>
    </w:sdtPr>
    <w:sdtContent>
      <w:p>
        <w:pPr>
          <w:pStyle w:val="3"/>
          <w:jc w:val="center"/>
        </w:pPr>
        <w:r>
          <w:fldChar w:fldCharType="begin"/>
        </w:r>
        <w:r>
          <w:instrText xml:space="preserve"> PAGE   \* MERGEFORMAT </w:instrText>
        </w:r>
        <w:r>
          <w:fldChar w:fldCharType="separate"/>
        </w:r>
        <w:r>
          <w:t>2</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bCs/>
        <w:i/>
        <w:color w:val="7F7F7F" w:themeColor="background1" w:themeShade="80"/>
        <w:sz w:val="20"/>
      </w:rPr>
    </w:pPr>
    <w:r>
      <w:rPr>
        <w:b/>
        <w:bCs/>
        <w:i/>
        <w:color w:val="7F7F7F" w:themeColor="background1" w:themeShade="80"/>
        <w:sz w:val="20"/>
      </w:rPr>
      <w:t>Tumor Discovery</w:t>
    </w:r>
  </w:p>
  <w:p>
    <w:pPr>
      <w:pStyle w:val="4"/>
      <w:rPr>
        <w:bCs/>
        <w:color w:val="7F7F7F" w:themeColor="background1" w:themeShade="80"/>
      </w:rPr>
    </w:pPr>
    <w:r>
      <w:rPr>
        <w:bCs/>
        <w:color w:val="7F7F7F" w:themeColor="background1" w:themeShade="80"/>
        <w:sz w:val="20"/>
      </w:rPr>
      <w:t>https://doi.org/10.36922/td.</w:t>
    </w:r>
    <w:r>
      <w:rPr>
        <w:bCs/>
        <w:color w:val="7F7F7F" w:themeColor="background1" w:themeShade="80"/>
        <w:sz w:val="20"/>
        <w:highlight w:val="yellow"/>
      </w:rPr>
      <w:t>XXXXXXXXXXXXX</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7BAE"/>
    <w:multiLevelType w:val="multilevel"/>
    <w:tmpl w:val="64457BAE"/>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2OWI5NDY4YTAwYjA4ZTA4MTFmZmUyMDliNGM0MTEifQ=="/>
  </w:docVars>
  <w:rsids>
    <w:rsidRoot w:val="00E07694"/>
    <w:rsid w:val="00147178"/>
    <w:rsid w:val="001704CB"/>
    <w:rsid w:val="001E647C"/>
    <w:rsid w:val="00255241"/>
    <w:rsid w:val="002C6685"/>
    <w:rsid w:val="00307923"/>
    <w:rsid w:val="003871BB"/>
    <w:rsid w:val="003B0978"/>
    <w:rsid w:val="004434E3"/>
    <w:rsid w:val="00490305"/>
    <w:rsid w:val="004C59F0"/>
    <w:rsid w:val="004F30C3"/>
    <w:rsid w:val="00505755"/>
    <w:rsid w:val="00591A01"/>
    <w:rsid w:val="005D591B"/>
    <w:rsid w:val="005F03A2"/>
    <w:rsid w:val="0062029B"/>
    <w:rsid w:val="00621FEC"/>
    <w:rsid w:val="00633BA6"/>
    <w:rsid w:val="0063621C"/>
    <w:rsid w:val="00655E35"/>
    <w:rsid w:val="00660B8E"/>
    <w:rsid w:val="00691395"/>
    <w:rsid w:val="006D3335"/>
    <w:rsid w:val="0076419F"/>
    <w:rsid w:val="00791235"/>
    <w:rsid w:val="007C4A58"/>
    <w:rsid w:val="00841373"/>
    <w:rsid w:val="00891F30"/>
    <w:rsid w:val="008A2665"/>
    <w:rsid w:val="0094473A"/>
    <w:rsid w:val="00950D77"/>
    <w:rsid w:val="00992F82"/>
    <w:rsid w:val="009A4227"/>
    <w:rsid w:val="009E5E8E"/>
    <w:rsid w:val="00B35188"/>
    <w:rsid w:val="00B41583"/>
    <w:rsid w:val="00CF03A5"/>
    <w:rsid w:val="00D201D5"/>
    <w:rsid w:val="00D264D7"/>
    <w:rsid w:val="00D309D7"/>
    <w:rsid w:val="00E07694"/>
    <w:rsid w:val="00E33F20"/>
    <w:rsid w:val="00EB1A4C"/>
    <w:rsid w:val="00F74DA7"/>
    <w:rsid w:val="0F2447E1"/>
    <w:rsid w:val="2EBA7251"/>
    <w:rsid w:val="75C162BE"/>
    <w:rsid w:val="7F375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autoRedefine/>
    <w:semiHidden/>
    <w:unhideWhenUsed/>
    <w:qFormat/>
    <w:uiPriority w:val="99"/>
    <w:pPr>
      <w:spacing w:line="240" w:lineRule="auto"/>
      <w:jc w:val="both"/>
    </w:pPr>
    <w:rPr>
      <w:rFonts w:ascii="Times New Roman" w:hAnsi="Times New Roman" w:eastAsia="宋体"/>
      <w:sz w:val="20"/>
      <w:szCs w:val="20"/>
      <w:lang w:val="en-GB" w:eastAsia="en-US"/>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uiPriority w:val="99"/>
    <w:pPr>
      <w:tabs>
        <w:tab w:val="center" w:pos="4680"/>
        <w:tab w:val="right" w:pos="9360"/>
      </w:tabs>
      <w:spacing w:after="0" w:line="240" w:lineRule="auto"/>
    </w:pPr>
  </w:style>
  <w:style w:type="table" w:styleId="6">
    <w:name w:val="Table Grid"/>
    <w:basedOn w:val="5"/>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styleId="9">
    <w:name w:val="annotation reference"/>
    <w:basedOn w:val="7"/>
    <w:autoRedefine/>
    <w:semiHidden/>
    <w:unhideWhenUsed/>
    <w:qFormat/>
    <w:uiPriority w:val="99"/>
    <w:rPr>
      <w:sz w:val="16"/>
      <w:szCs w:val="16"/>
    </w:rPr>
  </w:style>
  <w:style w:type="character" w:customStyle="1" w:styleId="10">
    <w:name w:val="Header Char"/>
    <w:basedOn w:val="7"/>
    <w:link w:val="4"/>
    <w:autoRedefine/>
    <w:qFormat/>
    <w:uiPriority w:val="99"/>
  </w:style>
  <w:style w:type="character" w:customStyle="1" w:styleId="11">
    <w:name w:val="Footer Char"/>
    <w:basedOn w:val="7"/>
    <w:link w:val="3"/>
    <w:autoRedefine/>
    <w:qFormat/>
    <w:uiPriority w:val="99"/>
  </w:style>
  <w:style w:type="character" w:customStyle="1" w:styleId="12">
    <w:name w:val="Comment Text Char"/>
    <w:basedOn w:val="7"/>
    <w:link w:val="2"/>
    <w:autoRedefine/>
    <w:semiHidden/>
    <w:qFormat/>
    <w:uiPriority w:val="99"/>
    <w:rPr>
      <w:rFonts w:ascii="Times New Roman" w:hAnsi="Times New Roman" w:eastAsia="宋体"/>
      <w:sz w:val="20"/>
      <w:szCs w:val="20"/>
      <w:lang w:val="en-GB" w:eastAsia="en-US"/>
    </w:rPr>
  </w:style>
  <w:style w:type="paragraph" w:styleId="13">
    <w:name w:val="List Paragraph"/>
    <w:basedOn w:val="1"/>
    <w:autoRedefine/>
    <w:qFormat/>
    <w:uiPriority w:val="34"/>
    <w:pPr>
      <w:ind w:left="720"/>
      <w:contextualSpacing/>
    </w:pPr>
  </w:style>
  <w:style w:type="character" w:styleId="14">
    <w:name w:val="Placeholder Text"/>
    <w:basedOn w:val="7"/>
    <w:autoRedefine/>
    <w:semiHidden/>
    <w:qFormat/>
    <w:uiPriority w:val="99"/>
    <w:rPr>
      <w:color w:val="808080"/>
    </w:rPr>
  </w:style>
  <w:style w:type="character" w:customStyle="1" w:styleId="15">
    <w:name w:val="Unresolved Mention"/>
    <w:basedOn w:val="7"/>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1178</Words>
  <Characters>6571</Characters>
  <Lines>55</Lines>
  <Paragraphs>15</Paragraphs>
  <TotalTime>96</TotalTime>
  <ScaleCrop>false</ScaleCrop>
  <LinksUpToDate>false</LinksUpToDate>
  <CharactersWithSpaces>7660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2022-04-14T08:01:00Z</dcterms:created>
  <dc:creator>Author</dc:creator>
  <cp:lastModifiedBy>Editor</cp:lastModifiedBy>
  <dcterms:modified xsi:type="dcterms:W3CDTF">2024-04-29T07:58:39Z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82BCE74E28634F3EB13AA708C8D5B42B</vt:lpwstr>
  </property>
</Properties>
</file>