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200–300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heading is usually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9"/>
          <w:rFonts w:ascii="Times New Roman" w:hAnsi="Times New Roman" w:cs="Times New Roman"/>
          <w:b/>
          <w:bCs/>
          <w:sz w:val="24"/>
          <w:szCs w:val="24"/>
          <w:lang w:val="en-MY"/>
        </w:rPr>
        <w:t>Instructions for Authors</w:t>
      </w:r>
      <w:r>
        <w:rPr>
          <w:rStyle w:val="9"/>
          <w:rFonts w:ascii="Times New Roman" w:hAnsi="Times New Roman" w:cs="Times New Roman"/>
          <w:b/>
          <w:bCs/>
          <w:sz w:val="24"/>
          <w:szCs w:val="24"/>
          <w:lang w:val="en-MY"/>
        </w:rPr>
        <w:fldChar w:fldCharType="end"/>
      </w:r>
      <w:r>
        <w:rPr>
          <w:rFonts w:ascii="Times New Roman" w:hAnsi="Times New Roman" w:cs="Times New Roman"/>
          <w:sz w:val="24"/>
          <w:szCs w:val="24"/>
          <w:lang w:val="en-MY"/>
        </w:rPr>
        <w:t>. Some examples are shown in the next paragraphs.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To cite 1-author reference in sentence: Our findings are consistent with those in the reports separately made by the Government of Nepal (2011). To cite 2-author reference in sentence: Chandler and Tsai (2001) analyzed data from several reports. To cite ≥3-author reference in sentence: Dickson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(2014) brought up some points to support such an argument.</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 xml:space="preserve">To cite 1-author reference in parentheses: Multidisciplinary research spans many disciplines </w:t>
      </w:r>
      <w:r>
        <w:rPr>
          <w:rFonts w:ascii="Times New Roman" w:hAnsi="Times New Roman" w:cs="Times New Roman"/>
          <w:sz w:val="24"/>
          <w:szCs w:val="24"/>
          <w:lang w:val="en-MY"/>
        </w:rPr>
        <w:t xml:space="preserve">(Bhunia, 2011). </w:t>
      </w:r>
      <w:r>
        <w:rPr>
          <w:rFonts w:ascii="Times New Roman" w:hAnsi="Times New Roman" w:cs="Times New Roman"/>
          <w:sz w:val="24"/>
          <w:szCs w:val="24"/>
        </w:rPr>
        <w:t xml:space="preserve">To cite 2-author reference in parentheses: This result was later contradicted by other studies </w:t>
      </w:r>
      <w:r>
        <w:rPr>
          <w:rFonts w:ascii="Times New Roman" w:hAnsi="Times New Roman" w:cs="Times New Roman"/>
          <w:sz w:val="24"/>
          <w:szCs w:val="24"/>
          <w:lang w:val="en-MY"/>
        </w:rPr>
        <w:t xml:space="preserve">(Bhunia &amp; Ghosh, 2011). </w:t>
      </w:r>
      <w:r>
        <w:rPr>
          <w:rFonts w:ascii="Times New Roman" w:hAnsi="Times New Roman" w:cs="Times New Roman"/>
          <w:sz w:val="24"/>
          <w:szCs w:val="24"/>
        </w:rPr>
        <w:t xml:space="preserve">To cite ≥3-author reference in parentheses: This effect has been widely studied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2012).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 include multiple sources in a single parenthetical citation, place them in alphabetical order, separating them with semicolons. For instance: This hypothesis is supported by many schools of thoughts (</w:t>
      </w:r>
      <w:r>
        <w:rPr>
          <w:rFonts w:ascii="Times New Roman" w:hAnsi="Times New Roman" w:cs="Times New Roman"/>
          <w:sz w:val="24"/>
          <w:szCs w:val="24"/>
          <w:lang w:val="en-MY"/>
        </w:rPr>
        <w:t xml:space="preserve">Bhunia &amp; Ghosh, 2015; </w:t>
      </w:r>
      <w:r>
        <w:rPr>
          <w:rFonts w:ascii="Times New Roman" w:hAnsi="Times New Roman" w:cs="Times New Roman"/>
          <w:sz w:val="24"/>
          <w:szCs w:val="24"/>
        </w:rPr>
        <w:t xml:space="preserve">Daley, 2010;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2019; </w:t>
      </w:r>
      <w:r>
        <w:rPr>
          <w:rFonts w:ascii="Times New Roman" w:hAnsi="Times New Roman" w:cs="Times New Roman"/>
          <w:sz w:val="24"/>
          <w:szCs w:val="24"/>
        </w:rPr>
        <w:t xml:space="preserve">Saunders </w:t>
      </w:r>
      <w:r>
        <w:rPr>
          <w:rFonts w:ascii="Times New Roman" w:hAnsi="Times New Roman" w:cs="Times New Roman"/>
          <w:i/>
          <w:iCs/>
          <w:sz w:val="24"/>
          <w:szCs w:val="24"/>
        </w:rPr>
        <w:t>et al.</w:t>
      </w:r>
      <w:r>
        <w:rPr>
          <w:rFonts w:ascii="Times New Roman" w:hAnsi="Times New Roman" w:cs="Times New Roman"/>
          <w:sz w:val="24"/>
          <w:szCs w:val="24"/>
        </w:rPr>
        <w:t>, 2005).</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Pr>
          <w:rFonts w:ascii="Times New Roman" w:hAnsi="Times New Roman" w:cs="Times New Roman"/>
          <w:color w:val="0070C0"/>
          <w:sz w:val="24"/>
          <w:szCs w:val="24"/>
        </w:rPr>
        <w:t>Insert figures and/or tables on a separate sheet.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usually images and tables, that have been published should be accompanied by written permission from the copyright holder, such as author(s) and publisher. The statement of written permission should be written in copyright holder’s preferred style, and should be included as part of the figure caption or table legend.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text.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International Journal of Population Studies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Population Studies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9"/>
          <w:rFonts w:ascii="Times New Roman" w:hAnsi="Times New Roman" w:cs="Times New Roman"/>
          <w:b/>
          <w:bCs/>
          <w:sz w:val="24"/>
          <w:szCs w:val="24"/>
          <w:lang w:val="en-MY"/>
        </w:rPr>
        <w:t>Instructions for Authors</w:t>
      </w:r>
      <w:r>
        <w:rPr>
          <w:rStyle w:val="9"/>
          <w:rFonts w:ascii="Times New Roman" w:hAnsi="Times New Roman" w:cs="Times New Roman"/>
          <w:b/>
          <w:bCs/>
          <w:sz w:val="24"/>
          <w:szCs w:val="24"/>
          <w:lang w:val="en-MY"/>
        </w:rPr>
        <w:fldChar w:fldCharType="end"/>
      </w:r>
      <w:r>
        <w:rPr>
          <w:rFonts w:ascii="Times New Roman" w:hAnsi="Times New Roman" w:cs="Times New Roman"/>
          <w:sz w:val="24"/>
          <w:szCs w:val="24"/>
          <w:lang w:val="en-MY"/>
        </w:rPr>
        <w:t>. See examples in the first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MY"/>
        </w:rPr>
        <w:t>The references in reference list should be arranged in alphabetical order of the first author’s surname. Authors referenced should be listed with their surname followed by their initials.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Mendeley, is strongly recommended. </w:t>
      </w:r>
      <w:r>
        <w:rPr>
          <w:rFonts w:ascii="Times New Roman" w:hAnsi="Times New Roman" w:cs="Times New Roman"/>
          <w:color w:val="C00000"/>
          <w:sz w:val="24"/>
          <w:szCs w:val="24"/>
          <w:lang w:val="en-GB"/>
        </w:rPr>
        <w:t xml:space="preserve">Personal communications and unpublished works should be excluded from this section. </w:t>
      </w:r>
      <w:r>
        <w:rPr>
          <w:rFonts w:ascii="Times New Roman" w:hAnsi="Times New Roman" w:cs="Times New Roman"/>
          <w:sz w:val="24"/>
          <w:szCs w:val="24"/>
          <w:lang w:val="en-GB"/>
        </w:rPr>
        <w:t xml:space="preserve">Refer to the </w:t>
      </w:r>
      <w:r>
        <w:rPr>
          <w:rFonts w:ascii="Times New Roman" w:hAnsi="Times New Roman" w:cs="Times New Roman"/>
          <w:b/>
          <w:bCs/>
          <w:sz w:val="24"/>
          <w:szCs w:val="24"/>
          <w:lang w:val="en-MY"/>
        </w:rPr>
        <w:t>References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9"/>
          <w:rFonts w:ascii="Times New Roman" w:hAnsi="Times New Roman" w:cs="Times New Roman"/>
          <w:b/>
          <w:bCs/>
          <w:sz w:val="24"/>
          <w:szCs w:val="24"/>
          <w:lang w:val="en-GB"/>
        </w:rPr>
        <w:t>Instructions for Authors</w:t>
      </w:r>
      <w:r>
        <w:rPr>
          <w:rStyle w:val="9"/>
          <w:rFonts w:ascii="Times New Roman" w:hAnsi="Times New Roman" w:cs="Times New Roman"/>
          <w:b/>
          <w:bCs/>
          <w:sz w:val="24"/>
          <w:szCs w:val="24"/>
          <w:lang w:val="en-GB"/>
        </w:rPr>
        <w:fldChar w:fldCharType="end"/>
      </w:r>
      <w:r>
        <w:rPr>
          <w:rFonts w:ascii="Times New Roman" w:hAnsi="Times New Roman" w:cs="Times New Roman"/>
          <w:sz w:val="24"/>
          <w:szCs w:val="24"/>
          <w:lang w:val="en-GB"/>
        </w:rPr>
        <w:t xml:space="preserve"> for more information. Below show some examples:</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Arsa, G., Lima, L. C. J., Motta-Santos, D., Cambri, L. T., &amp; Grubert Campbell, C. S. (2015). Effects of prior exercise on glycemic responses following carbohydrate inges on in individuals with type 2 diabetes. </w:t>
      </w:r>
      <w:r>
        <w:rPr>
          <w:rFonts w:ascii="Times New Roman" w:hAnsi="Times New Roman" w:cs="Times New Roman"/>
          <w:i/>
          <w:sz w:val="24"/>
          <w:szCs w:val="24"/>
        </w:rPr>
        <w:t>Journal of Clinical and Translational Research</w:t>
      </w:r>
      <w:r>
        <w:rPr>
          <w:rFonts w:ascii="Times New Roman" w:hAnsi="Times New Roman" w:cs="Times New Roman"/>
          <w:sz w:val="24"/>
          <w:szCs w:val="24"/>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Blanco, E. E., Meade, J. C., Richards, W. D., (inventors). &amp; Ophthalmic, V. (assignee). (1990). </w:t>
      </w:r>
      <w:r>
        <w:rPr>
          <w:rFonts w:ascii="Times New Roman" w:hAnsi="Times New Roman" w:cs="Times New Roman"/>
          <w:i/>
          <w:iCs/>
          <w:sz w:val="24"/>
          <w:szCs w:val="24"/>
        </w:rPr>
        <w:t>Surgical Stapling System</w:t>
      </w:r>
      <w:r>
        <w:rPr>
          <w:rFonts w:ascii="Times New Roman" w:hAnsi="Times New Roman" w:cs="Times New Roman"/>
          <w:sz w:val="24"/>
          <w:szCs w:val="24"/>
        </w:rPr>
        <w:t>. US patent. 4,969,591.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Conway, K. M. (2014). Critical quantitative study of immigrant students. In: FK Stage and RS Wells (eds.). </w:t>
      </w:r>
      <w:r>
        <w:rPr>
          <w:rFonts w:ascii="Times New Roman" w:hAnsi="Times New Roman" w:cs="Times New Roman"/>
          <w:i/>
          <w:iCs/>
          <w:sz w:val="24"/>
          <w:szCs w:val="24"/>
        </w:rPr>
        <w:t>New Scholarship in Critical Quantitative Research — Part 1</w:t>
      </w:r>
      <w:r>
        <w:rPr>
          <w:rFonts w:ascii="Times New Roman" w:hAnsi="Times New Roman" w:cs="Times New Roman"/>
          <w:sz w:val="24"/>
          <w:szCs w:val="24"/>
        </w:rPr>
        <w:t>. San Francisco: Jossey-Bass, p.51–64. </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Este, J., Warren, C., &amp; Connor, L. (2008). Life in the clickstream: The future of journalism. </w:t>
      </w:r>
      <w:r>
        <w:rPr>
          <w:rFonts w:ascii="Times New Roman" w:hAnsi="Times New Roman" w:cs="Times New Roman"/>
          <w:i/>
          <w:iCs/>
          <w:sz w:val="24"/>
          <w:szCs w:val="24"/>
        </w:rPr>
        <w:t>Media Entertainment and Arts Alliance</w:t>
      </w:r>
      <w:r>
        <w:rPr>
          <w:rFonts w:ascii="Times New Roman" w:hAnsi="Times New Roman" w:cs="Times New Roman"/>
          <w:sz w:val="24"/>
          <w:szCs w:val="24"/>
        </w:rPr>
        <w:t>. Available from: http://www.alliance.org.au/documents/ foj_report_final.pdf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[PhD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p.110–130.</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Liu, Z.S. (2020). Zhongmei maoyizhan dui Zhongguo jingji fazhan yu yingdui qihou bianhua de yingxiang ji yingdui [The influence of the trade war between China and the United States on China’s economic development and its response to climate change and relevant countermeasures]. </w:t>
      </w:r>
      <w:r>
        <w:rPr>
          <w:rFonts w:ascii="Times New Roman" w:hAnsi="Times New Roman" w:cs="Times New Roman"/>
          <w:i/>
          <w:iCs/>
          <w:sz w:val="24"/>
          <w:szCs w:val="24"/>
        </w:rPr>
        <w:t>Shijie Huanjing</w:t>
      </w:r>
      <w:r>
        <w:rPr>
          <w:rFonts w:ascii="Times New Roman" w:hAnsi="Times New Roman" w:cs="Times New Roman"/>
          <w:sz w:val="24"/>
          <w:szCs w:val="24"/>
        </w:rPr>
        <w:t>, 2020(1): 43-45. http://doi.org/10.1590/shijiehuanjing-4989201100108 [Article in Chinese]</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Moreno, C. &amp; Cendales, R. (2011). Mortalidad y años potenciales de vida perdidos por homicidios en Colombia, 1985–2006 [Mortality and potential loss of life caused by murders in Colombia from 1985 to 2006]. </w:t>
      </w:r>
      <w:r>
        <w:rPr>
          <w:rFonts w:ascii="Times New Roman" w:hAnsi="Times New Roman" w:cs="Times New Roman"/>
          <w:i/>
          <w:iCs/>
          <w:sz w:val="24"/>
          <w:szCs w:val="24"/>
        </w:rPr>
        <w:t>Revista Panamericana de Salud Pública</w:t>
      </w:r>
      <w:r>
        <w:rPr>
          <w:rFonts w:ascii="Times New Roman" w:hAnsi="Times New Roman" w:cs="Times New Roman"/>
          <w:sz w:val="24"/>
          <w:szCs w:val="24"/>
        </w:rPr>
        <w:t>, 30(4):342-353. http://doi.org/10.1590/S1020-4989201100108 [Article in Spanish]</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National Commission of Audit. (1996). </w:t>
      </w:r>
      <w:r>
        <w:rPr>
          <w:rFonts w:ascii="Times New Roman" w:hAnsi="Times New Roman" w:cs="Times New Roman"/>
          <w:i/>
          <w:iCs/>
          <w:sz w:val="24"/>
          <w:szCs w:val="24"/>
        </w:rPr>
        <w:t>Report to the Commonwealth Government</w:t>
      </w:r>
      <w:r>
        <w:rPr>
          <w:rFonts w:ascii="Times New Roman" w:hAnsi="Times New Roman" w:cs="Times New Roman"/>
          <w:sz w:val="24"/>
          <w:szCs w:val="24"/>
        </w:rPr>
        <w:t>, Australian Government Publishing Service, Canberra.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Obisesan, T. O. &amp; Gillum, R. F. (2009). Cognitive function, social integration and mortality in a U.S. national cohort study of older adults. </w:t>
      </w:r>
      <w:r>
        <w:rPr>
          <w:rFonts w:ascii="Times New Roman" w:hAnsi="Times New Roman" w:cs="Times New Roman"/>
          <w:i/>
          <w:iCs/>
          <w:sz w:val="24"/>
          <w:szCs w:val="24"/>
        </w:rPr>
        <w:t>BMC Geriatrics</w:t>
      </w:r>
      <w:r>
        <w:rPr>
          <w:rFonts w:ascii="Times New Roman" w:hAnsi="Times New Roman" w:cs="Times New Roman"/>
          <w:sz w:val="24"/>
          <w:szCs w:val="24"/>
        </w:rPr>
        <w:t>, 9(2):33. https://doi.org/10.1186/1471-2318-9-33</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Schneider, Z., Whitehead, D., &amp; Elliott, D. (2007).</w:t>
      </w:r>
      <w:r>
        <w:rPr>
          <w:rFonts w:ascii="Times New Roman" w:hAnsi="Times New Roman" w:cs="Times New Roman"/>
          <w:i/>
          <w:iCs/>
          <w:sz w:val="24"/>
          <w:szCs w:val="24"/>
        </w:rPr>
        <w:t> Nursing and Midwifery Research: Methods and Appraisal for Evidence-based Practice</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ed. Marrickville, NSW: Elsevier Australia.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Standards Australia. (2006).</w:t>
      </w:r>
      <w:r>
        <w:rPr>
          <w:rFonts w:ascii="Times New Roman" w:hAnsi="Times New Roman" w:cs="Times New Roman"/>
          <w:i/>
          <w:iCs/>
          <w:sz w:val="24"/>
          <w:szCs w:val="24"/>
        </w:rPr>
        <w:t> </w:t>
      </w:r>
      <w:r>
        <w:rPr>
          <w:rFonts w:ascii="Times New Roman" w:hAnsi="Times New Roman" w:cs="Times New Roman"/>
          <w:sz w:val="24"/>
          <w:szCs w:val="24"/>
        </w:rPr>
        <w:t>Glass in buildings: selection and installation, AS 1288-2006, amended January 31, 2008, </w:t>
      </w:r>
      <w:r>
        <w:rPr>
          <w:rFonts w:ascii="Times New Roman" w:hAnsi="Times New Roman" w:cs="Times New Roman"/>
          <w:i/>
          <w:iCs/>
          <w:sz w:val="24"/>
          <w:szCs w:val="24"/>
        </w:rPr>
        <w:t>SAI Global database</w:t>
      </w:r>
      <w:r>
        <w:rPr>
          <w:rFonts w:ascii="Times New Roman" w:hAnsi="Times New Roman" w:cs="Times New Roman"/>
          <w:sz w:val="24"/>
          <w:szCs w:val="24"/>
        </w:rPr>
        <w:t>.</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Twenty One Pilots, Nicolas Bourbaki, and the empty set. </w:t>
      </w:r>
      <w:r>
        <w:rPr>
          <w:rFonts w:ascii="Times New Roman" w:hAnsi="Times New Roman" w:cs="Times New Roman"/>
          <w:i/>
          <w:iCs/>
          <w:sz w:val="24"/>
          <w:szCs w:val="24"/>
        </w:rPr>
        <w:t>Journal of Improbable Mathematics</w:t>
      </w:r>
      <w:r>
        <w:rPr>
          <w:rFonts w:ascii="Times New Roman" w:hAnsi="Times New Roman" w:cs="Times New Roman"/>
          <w:sz w:val="24"/>
          <w:szCs w:val="24"/>
        </w:rPr>
        <w:t>, 27(1), 1935–1968. https://doi.org/10.0000/3mp7y-537</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Ulgen, A., Gurkut, O., &amp; Li, W. (2019). Potential predictive factors for breast cancer subtypes from a North Cyprus cohort analysis. </w:t>
      </w:r>
      <w:r>
        <w:rPr>
          <w:rFonts w:ascii="Times New Roman" w:hAnsi="Times New Roman" w:cs="Times New Roman"/>
          <w:i/>
          <w:iCs/>
          <w:sz w:val="24"/>
          <w:szCs w:val="24"/>
        </w:rPr>
        <w:t>medRxiv</w:t>
      </w:r>
      <w:r>
        <w:rPr>
          <w:rFonts w:ascii="Times New Roman" w:hAnsi="Times New Roman" w:cs="Times New Roman"/>
          <w:sz w:val="24"/>
          <w:szCs w:val="24"/>
        </w:rPr>
        <w:t>. https://doi.org/10.1101/19010181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United Nations. (2017). </w:t>
      </w:r>
      <w:r>
        <w:rPr>
          <w:rFonts w:ascii="Times New Roman" w:hAnsi="Times New Roman" w:cs="Times New Roman"/>
          <w:i/>
          <w:iCs/>
          <w:sz w:val="24"/>
          <w:szCs w:val="24"/>
        </w:rPr>
        <w:t>World population prospects: The 2017 revision. Key findings and advance tables</w:t>
      </w:r>
      <w:r>
        <w:rPr>
          <w:rFonts w:ascii="Times New Roman" w:hAnsi="Times New Roman" w:cs="Times New Roman"/>
          <w:sz w:val="24"/>
          <w:szCs w:val="24"/>
        </w:rPr>
        <w:t>[online]. New York, NY, USA: United Nations Publications. Available from: https://esa.un.org/unpd/wpp/Publications/Files/WPP2017_KeyFindings.pdf</w:t>
      </w:r>
      <w:r>
        <w:t xml:space="preserve"> </w:t>
      </w:r>
      <w:r>
        <w:rPr>
          <w:rFonts w:ascii="Times New Roman" w:hAnsi="Times New Roman" w:cs="Times New Roman"/>
          <w:sz w:val="24"/>
          <w:szCs w:val="24"/>
        </w:rPr>
        <w:t>[Last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MY"/>
        </w:rPr>
        <w:t xml:space="preserve">Arsa, G., Lima, L. C. J., Motta-Santos, D., Cambri, L. T., Grubert Campbell, C. S., Lewis, J. E.,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(2015). Effects of prior exercise on glycemic responses following carbohydrate inges on in individuals with type 2 diabetes. </w:t>
      </w:r>
      <w:r>
        <w:rPr>
          <w:rFonts w:ascii="Times New Roman" w:hAnsi="Times New Roman" w:cs="Times New Roman"/>
          <w:i/>
          <w:sz w:val="24"/>
          <w:szCs w:val="24"/>
          <w:lang w:val="en-MY"/>
        </w:rPr>
        <w:t>Journal of Clinical and Translational Research</w:t>
      </w:r>
      <w:r>
        <w:rPr>
          <w:rFonts w:ascii="Times New Roman" w:hAnsi="Times New Roman" w:cs="Times New Roman"/>
          <w:sz w:val="24"/>
          <w:szCs w:val="24"/>
          <w:lang w:val="en-MY"/>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World Health Organization. (2014). Comprehensive implementation plan on maternal, infant and young child nutrition. https://apps.who.int/iris/bitstream/handle/10665/113048/WHO_NMH_NHD_14.1_eng.pdf?ua=1 [Last accessed: 2021 Jan 5]</w:t>
      </w:r>
      <w:r>
        <w:rPr>
          <w:rFonts w:ascii="Times New Roman" w:hAnsi="Times New Roman" w:cs="Times New Roman"/>
          <w:sz w:val="24"/>
          <w:szCs w:val="24"/>
          <w:lang w:val="en-GB"/>
        </w:rPr>
        <w:t xml:space="preserve"> </w:t>
      </w: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
        <w:bCs/>
        <w:i/>
        <w:color w:val="7F7F7F"/>
        <w:sz w:val="20"/>
      </w:rPr>
    </w:pPr>
    <w:r>
      <w:rPr>
        <w:rFonts w:hint="eastAsia"/>
        <w:b/>
        <w:bCs/>
        <w:i/>
        <w:color w:val="7F7F7F"/>
        <w:sz w:val="20"/>
      </w:rPr>
      <w:t>Cancer Plus</w:t>
    </w:r>
  </w:p>
  <w:p>
    <w:pPr>
      <w:pStyle w:val="4"/>
      <w:rPr>
        <w:bCs/>
        <w:color w:val="7F7F7F"/>
      </w:rPr>
    </w:pPr>
    <w:r>
      <w:rPr>
        <w:bCs/>
        <w:color w:val="7F7F7F"/>
        <w:sz w:val="20"/>
      </w:rPr>
      <w:t>https://doi.org/10.36922/</w:t>
    </w:r>
    <w:r>
      <w:rPr>
        <w:rFonts w:hint="eastAsia"/>
        <w:bCs/>
        <w:color w:val="7F7F7F"/>
        <w:sz w:val="20"/>
        <w:lang w:val="en-US" w:eastAsia="zh-CN"/>
      </w:rPr>
      <w:t>cp</w:t>
    </w:r>
    <w:r>
      <w:rPr>
        <w:bCs/>
        <w:color w:val="7F7F7F"/>
        <w:sz w:val="20"/>
      </w:rPr>
      <w:t>.</w:t>
    </w:r>
    <w:r>
      <w:rPr>
        <w:bCs/>
        <w:color w:val="7F7F7F"/>
        <w:sz w:val="20"/>
        <w:highlight w:val="yellow"/>
      </w:rPr>
      <w:t>XXXXXXXXXXXXX</w:t>
    </w:r>
  </w:p>
  <w:p>
    <w:pPr>
      <w:pStyle w:val="4"/>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5MTY2ZDBiOTA4NGFjMDVhOTc0NDY2MDhjNzQ4NmYifQ=="/>
  </w:docVars>
  <w:rsids>
    <w:rsidRoot w:val="00E07694"/>
    <w:rsid w:val="000157D1"/>
    <w:rsid w:val="000D0175"/>
    <w:rsid w:val="00114E96"/>
    <w:rsid w:val="0012047B"/>
    <w:rsid w:val="00123CA1"/>
    <w:rsid w:val="00143AE9"/>
    <w:rsid w:val="00147178"/>
    <w:rsid w:val="001704CB"/>
    <w:rsid w:val="0019614B"/>
    <w:rsid w:val="001B2834"/>
    <w:rsid w:val="001E647C"/>
    <w:rsid w:val="0025198F"/>
    <w:rsid w:val="002A4D20"/>
    <w:rsid w:val="002A6CCE"/>
    <w:rsid w:val="002B42A5"/>
    <w:rsid w:val="002C6685"/>
    <w:rsid w:val="00307923"/>
    <w:rsid w:val="003531E1"/>
    <w:rsid w:val="003618F2"/>
    <w:rsid w:val="00386874"/>
    <w:rsid w:val="003B0978"/>
    <w:rsid w:val="003E461D"/>
    <w:rsid w:val="003F1464"/>
    <w:rsid w:val="004434E3"/>
    <w:rsid w:val="00490305"/>
    <w:rsid w:val="004B3421"/>
    <w:rsid w:val="004F30C3"/>
    <w:rsid w:val="00505755"/>
    <w:rsid w:val="005363F7"/>
    <w:rsid w:val="00574761"/>
    <w:rsid w:val="00591A01"/>
    <w:rsid w:val="005B431F"/>
    <w:rsid w:val="005D591B"/>
    <w:rsid w:val="005F03A2"/>
    <w:rsid w:val="0062029B"/>
    <w:rsid w:val="00621FEC"/>
    <w:rsid w:val="00633BA6"/>
    <w:rsid w:val="0063621C"/>
    <w:rsid w:val="006616E2"/>
    <w:rsid w:val="00664814"/>
    <w:rsid w:val="00691395"/>
    <w:rsid w:val="006D3335"/>
    <w:rsid w:val="00722D14"/>
    <w:rsid w:val="007461AC"/>
    <w:rsid w:val="0076419F"/>
    <w:rsid w:val="00766510"/>
    <w:rsid w:val="0078698E"/>
    <w:rsid w:val="00792734"/>
    <w:rsid w:val="007B063C"/>
    <w:rsid w:val="007B10F1"/>
    <w:rsid w:val="007C4A58"/>
    <w:rsid w:val="00841373"/>
    <w:rsid w:val="00896661"/>
    <w:rsid w:val="008A2665"/>
    <w:rsid w:val="008B5D40"/>
    <w:rsid w:val="00934737"/>
    <w:rsid w:val="0094473A"/>
    <w:rsid w:val="00956234"/>
    <w:rsid w:val="00992F82"/>
    <w:rsid w:val="009A4227"/>
    <w:rsid w:val="009B36C1"/>
    <w:rsid w:val="009B6746"/>
    <w:rsid w:val="009E5E8E"/>
    <w:rsid w:val="00AD31F9"/>
    <w:rsid w:val="00B05371"/>
    <w:rsid w:val="00B35188"/>
    <w:rsid w:val="00B53FF7"/>
    <w:rsid w:val="00BD45E2"/>
    <w:rsid w:val="00C76CF7"/>
    <w:rsid w:val="00CF03A5"/>
    <w:rsid w:val="00D15841"/>
    <w:rsid w:val="00D201D5"/>
    <w:rsid w:val="00D22590"/>
    <w:rsid w:val="00D264D7"/>
    <w:rsid w:val="00D309D7"/>
    <w:rsid w:val="00D660AA"/>
    <w:rsid w:val="00DF6B66"/>
    <w:rsid w:val="00E07694"/>
    <w:rsid w:val="00E33F20"/>
    <w:rsid w:val="00EA0240"/>
    <w:rsid w:val="00EA175F"/>
    <w:rsid w:val="00EB1A4C"/>
    <w:rsid w:val="00ED1267"/>
    <w:rsid w:val="00FC3A44"/>
    <w:rsid w:val="00FD2FEE"/>
    <w:rsid w:val="17C05C00"/>
    <w:rsid w:val="435F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annotation subject"/>
    <w:basedOn w:val="2"/>
    <w:next w:val="2"/>
    <w:link w:val="18"/>
    <w:semiHidden/>
    <w:unhideWhenUsed/>
    <w:qFormat/>
    <w:uiPriority w:val="99"/>
    <w:pPr>
      <w:jc w:val="left"/>
    </w:pPr>
    <w:rPr>
      <w:rFonts w:asciiTheme="minorHAnsi" w:hAnsiTheme="minorHAnsi" w:eastAsiaTheme="minorEastAsia"/>
      <w:b/>
      <w:bCs/>
      <w:lang w:val="en-US" w:eastAsia="zh-CN"/>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uiPriority w:val="99"/>
  </w:style>
  <w:style w:type="character" w:customStyle="1" w:styleId="13">
    <w:name w:val="Comment Text Char"/>
    <w:basedOn w:val="8"/>
    <w:link w:val="2"/>
    <w:qFormat/>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paragraph" w:customStyle="1" w:styleId="17">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18">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1267</Words>
  <Characters>7682</Characters>
  <Lines>65</Lines>
  <Paragraphs>18</Paragraphs>
  <TotalTime>1</TotalTime>
  <ScaleCrop>false</ScaleCrop>
  <LinksUpToDate>false</LinksUpToDate>
  <CharactersWithSpaces>8897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2022-08-17T02:59:00Z</dcterms:created>
  <dc:creator>Author</dc:creator>
  <cp:lastModifiedBy>57</cp:lastModifiedBy>
  <dcterms:modified xsi:type="dcterms:W3CDTF">2023-08-18T06:26:11Z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C2AFC002A22A44E094DC835B93211B05_13</vt:lpwstr>
  </property>
</Properties>
</file>